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12476">
      <w:pPr>
        <w:pStyle w:val="2"/>
        <w:spacing w:line="560" w:lineRule="exact"/>
        <w:jc w:val="center"/>
        <w:rPr>
          <w:rFonts w:ascii="方正小标宋_GBK" w:eastAsia="方正小标宋_GBK"/>
          <w:b w:val="0"/>
          <w:bCs w:val="0"/>
          <w:color w:val="auto"/>
        </w:rPr>
      </w:pPr>
      <w:r>
        <w:rPr>
          <w:rFonts w:hint="eastAsia" w:ascii="方正小标宋_GBK" w:eastAsia="方正小标宋_GBK"/>
          <w:b w:val="0"/>
          <w:bCs w:val="0"/>
          <w:color w:val="auto"/>
        </w:rPr>
        <w:t>青岛财通汽车供应链管理有限公司数据查询软件项目需求</w:t>
      </w:r>
    </w:p>
    <w:p w14:paraId="58768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1.数据查询模块</w:t>
      </w:r>
    </w:p>
    <w:p w14:paraId="208C3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数据查询模块可以更加高效的查询金融市场数据和相关行业，企业数据，方便员工及时获取相关行业和企业的信息，更高效的开展公司业务，提升工作效率。</w:t>
      </w:r>
    </w:p>
    <w:p w14:paraId="5D492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2.行业研究分析模块</w:t>
      </w:r>
    </w:p>
    <w:p w14:paraId="27F91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软件需要能够查看关于汽车行业的经济数据，汽车经销商的相关数据，财务数据，产量，销量和行业报告。国内外关于汽车行业政策信息，新闻信息，主机厂的数据信息。可以查看整个汽车产业链的上下游情况，多方位把握汽车行业的动态变化。</w:t>
      </w:r>
    </w:p>
    <w:p w14:paraId="4D536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3.城投地图模块</w:t>
      </w:r>
    </w:p>
    <w:p w14:paraId="1F71B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可以一屏尽览发债主体和地域两个维度的城投研究工具，利用地图定位地区，联动城投公司、城投债与地域信息，多角度的获取债市市场数据。</w:t>
      </w:r>
    </w:p>
    <w:p w14:paraId="0D24C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4.债券模块</w:t>
      </w:r>
      <w:bookmarkStart w:id="0" w:name="_GoBack"/>
      <w:bookmarkEnd w:id="0"/>
    </w:p>
    <w:p w14:paraId="7E7AC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该模块可以从市场的资讯，央行动态，资金市场，债市一二级，国内全球市场，区域城投债研究，单一发债企业的查询等，多维度整体的查看城投债的研究。</w:t>
      </w:r>
    </w:p>
    <w:p w14:paraId="08A19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5.其他数据要求</w:t>
      </w:r>
    </w:p>
    <w:p w14:paraId="090BC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查看经纪商行情时可以批量查看担保人担保的券的实时行情，科技创新公司债（科创债）有单独的概念板块。可以支持窗口查看最优、报价、排名以及利差，可以同时监控多个债券</w:t>
      </w:r>
      <w:r>
        <w:rPr>
          <w:rFonts w:ascii="仿宋_GB2312" w:hAnsi="Times New Roman" w:eastAsia="仿宋_GB2312" w:cs="Times New Roman"/>
          <w:color w:val="auto"/>
          <w:sz w:val="32"/>
          <w:szCs w:val="32"/>
        </w:rPr>
        <w:t>/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板块实时行情，并且可以进行窗口联动和复制。</w:t>
      </w:r>
    </w:p>
    <w:p w14:paraId="69FCD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债券市场需要包含多元行情（经纪商行情，</w:t>
      </w:r>
      <w:r>
        <w:rPr>
          <w:rFonts w:ascii="仿宋_GB2312" w:hAnsi="Times New Roman" w:eastAsia="仿宋_GB2312" w:cs="Times New Roman"/>
          <w:color w:val="auto"/>
          <w:sz w:val="32"/>
          <w:szCs w:val="32"/>
        </w:rPr>
        <w:t>CFETS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行情，交易所行情）。提供城投债成交统计界面，包含城投债（按评级）、城投债（按地域）、地方债成交统计界面。提供我的自选债个性化选债模块成交统计界面。</w:t>
      </w:r>
    </w:p>
    <w:p w14:paraId="0D472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外汇模块提供外汇日历，外汇计算器包括利率平价计算器。</w:t>
      </w:r>
    </w:p>
    <w:p w14:paraId="7234D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债市一级市场包括债市日历，新债上市首日偏离需标注每个主承具体包销份额。债券承销排行榜需要是业内公认的排行榜，需要根据真实独家的承销协议进行的汇总排名。</w:t>
      </w:r>
    </w:p>
    <w:p w14:paraId="68D7E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200"/>
        <w:textAlignment w:val="auto"/>
        <w:rPr>
          <w:color w:val="auto"/>
          <w:sz w:val="32"/>
          <w:szCs w:val="32"/>
        </w:rPr>
      </w:pPr>
    </w:p>
    <w:p w14:paraId="2DC716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YTg4OWFlNDVjNzU0YzBlOGY0MmNlYjFhOTUxMGYifQ=="/>
  </w:docVars>
  <w:rsids>
    <w:rsidRoot w:val="00000000"/>
    <w:rsid w:val="01670200"/>
    <w:rsid w:val="06E5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E480F7AC33AF43939B45562782F6A892_12</vt:lpwstr>
  </property>
</Properties>
</file>